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3C" w:rsidRPr="00FE6DFD" w:rsidRDefault="00D0743C" w:rsidP="00D0743C">
      <w:pPr>
        <w:widowControl/>
        <w:shd w:val="clear" w:color="auto" w:fill="FFFFFF"/>
        <w:spacing w:line="350" w:lineRule="atLeast"/>
        <w:jc w:val="center"/>
        <w:rPr>
          <w:rFonts w:asciiTheme="majorEastAsia" w:eastAsiaTheme="majorEastAsia" w:hAnsiTheme="majorEastAsia" w:cs="宋体"/>
          <w:b/>
          <w:bCs/>
          <w:color w:val="0C5CB1"/>
          <w:kern w:val="0"/>
          <w:sz w:val="32"/>
          <w:szCs w:val="32"/>
        </w:rPr>
      </w:pPr>
      <w:r w:rsidRPr="00FE6DFD">
        <w:rPr>
          <w:rFonts w:asciiTheme="majorEastAsia" w:eastAsiaTheme="majorEastAsia" w:hAnsiTheme="majorEastAsia" w:cs="宋体" w:hint="eastAsia"/>
          <w:b/>
          <w:bCs/>
          <w:color w:val="0C5CB1"/>
          <w:kern w:val="0"/>
          <w:sz w:val="32"/>
          <w:szCs w:val="32"/>
        </w:rPr>
        <w:t>非法证券期货活动12大典型案例</w:t>
      </w:r>
    </w:p>
    <w:p w:rsidR="00D0743C" w:rsidRPr="00FE6DFD" w:rsidRDefault="00D0743C" w:rsidP="00FE6DFD">
      <w:pPr>
        <w:widowControl/>
        <w:shd w:val="clear" w:color="auto" w:fill="FFFFFF"/>
        <w:jc w:val="center"/>
        <w:rPr>
          <w:rFonts w:ascii="宋体" w:eastAsia="宋体" w:hAnsi="宋体" w:cs="宋体"/>
          <w:color w:val="888888"/>
          <w:kern w:val="0"/>
          <w:sz w:val="12"/>
          <w:szCs w:val="12"/>
        </w:rPr>
      </w:pPr>
      <w:r w:rsidRPr="00D0743C">
        <w:rPr>
          <w:rFonts w:ascii="宋体" w:eastAsia="宋体" w:hAnsi="宋体" w:cs="宋体" w:hint="eastAsia"/>
          <w:color w:val="888888"/>
          <w:kern w:val="0"/>
          <w:sz w:val="12"/>
          <w:szCs w:val="12"/>
        </w:rPr>
        <w:t>时间：2018-03-23 来源：中国证券经纪人协作网</w:t>
      </w:r>
      <w:r w:rsidRPr="00D0743C">
        <w:rPr>
          <w:rFonts w:ascii="宋体" w:eastAsia="宋体" w:hAnsi="宋体" w:cs="宋体" w:hint="eastAsia"/>
          <w:color w:val="333333"/>
          <w:kern w:val="0"/>
          <w:sz w:val="14"/>
          <w:szCs w:val="14"/>
        </w:rPr>
        <w:t> </w:t>
      </w:r>
    </w:p>
    <w:p w:rsidR="00D0743C" w:rsidRPr="00FE6DFD" w:rsidRDefault="00D0743C" w:rsidP="00FE6DFD">
      <w:pPr>
        <w:widowControl/>
        <w:shd w:val="clear" w:color="auto" w:fill="FFFFFF"/>
        <w:spacing w:line="360" w:lineRule="auto"/>
        <w:ind w:firstLine="600"/>
        <w:rPr>
          <w:rFonts w:asciiTheme="minorEastAsia" w:hAnsiTheme="minorEastAsia" w:cs="宋体"/>
          <w:color w:val="333333"/>
          <w:kern w:val="0"/>
          <w:szCs w:val="21"/>
        </w:rPr>
      </w:pPr>
      <w:r w:rsidRPr="00FE6DFD">
        <w:rPr>
          <w:rFonts w:asciiTheme="minorEastAsia" w:hAnsiTheme="minorEastAsia" w:cs="宋体" w:hint="eastAsia"/>
          <w:color w:val="3E3E3E"/>
          <w:kern w:val="0"/>
          <w:szCs w:val="21"/>
          <w:shd w:val="clear" w:color="auto" w:fill="FFFFFF"/>
        </w:rPr>
        <w:t>提高警惕，切勿掉进非法证券期货活动陷阱，以下总结12个案例，认真看吸取教训！</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1、案例一：轻信“牛股师”，损失惨重</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赵某自封资深的“牛股师”、“私募王牌操盘手”，宣称曾在多家知名证券公司工作，在多家网站博客张贴股票账户截图炫耀其操作的股票均有盈利，并自我吹嘘其通过内部渠道获取翻倍牛股的投资信息，以诱导投资者与其联系。赵某招兵买马，指示员工通过QQ群、手机短信、售卖股票软件等方式指导投资者买卖股票，以“指导费、咨询费、服务费、会费”等名义收取投资者800余万元，投资者亏损严重。</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2013年5月，投资者向当地证监局举报，该局联合公安机关对赵某非法经营案进行了查处。</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近期随着股市火爆，非法证券咨询又开始改头换面，以QQ群、微信群、手机短信、股票软件等形式群发股票买卖信息，并信誓旦旦承诺包赚不赔。投资者一定要擦亮眼睛，通过在中国证券业协会网站核实公司及人员是否有证券投资咨询资格、核实公司地址是否真实、收款账户是否是公司账户等方式增强识别能力，维护自身合法权益。</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2、案例二：迷信“消息”股深陷骗局</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2010年3月起，以田某某、刘某某为首的犯罪团伙先后在多个城市注册成立“某某网络科技有限公司”等9家公司，招聘员工超过200人，以销售炒股软件为幌子，通过QQ群、飞信等聊天工具，大量发布股票交割单电脑截图等虚假信息，以推荐牛股、提供内幕信息、与私募基金合作获取高额收益为诱饵，向投资者非法荐股，从事非法证券投资咨询活动，骗取全国各地投资者钱财。</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2013年5月，经过周密调查，当地证监局联合公安机关一举查处某某网络科技有限公司等5家非法证券投资咨询机构，抓捕18名犯罪嫌疑人。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2014年6月19日，当地人民法院对某某网络科技有限公司非法经营案进行判决，分别判决田某某、刘某某等15人非法经营罪，判处有期徒刑1年3个月至2年，并处罚金2万元至50万元。</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lastRenderedPageBreak/>
        <w:t>从事证券相关业务的机构，须经中国证监会批准获得相关业务资格，证券从业人员须通过所在机构向中国证券业协会申请执业资格方可上岗。合法的证券经营机构在开展业务活动中一般使用对公账户，请投资者切勿向个人账户汇款，并自觉远离提供所谓“内幕股”的非法机构，摒弃“一夜暴富”观念，保持理性投资心态，切记“天上不会掉馅饼”。</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3、案例三：非法代客理财害人不浅</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王某等人借用经过工商登记注册的公司外衣，通过电话、互联网、短信等营销方式，以高额投资回报为诱饵，骗取投资者投资咨询服务费。该公司主要通过三招吸引投资者。</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一是形象包装。该公司特意租赁了一处高档写字楼，设立了一个功能强大的公司网站，内容覆盖股票、基金、期货等主要投资领域，可以免费由公司的“名牌分析师”提供股票诊断服务。</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二是“话术”诱惑。该公司专门培训了一批巧舌如簧的员工，以极富煽动性的语言，信誓旦旦的保证等多种“话术”手段招揽客户。</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三是协议解虑。该公司通过与客户签订《委托理财协议》或《资产管理协议书》的形式，骗取客户的信任，轻而易举地获取了其股票账号和密码，进而全权代理其买卖股票，并根据协议收取资产管理费（客户股票账户资产额的1%至10%）和盈利分成收入（客户股票账户盈利部分的20%）。</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案发时，该公司代为操盘的资金规模达11,000多万元，非法获利近1,900万元。</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非法代客理财是违法行为，投资者如参与其中，相关利益不受法律保护，因此，投资者在证券投资过程中一定要认清非法代客理财的本质和危害，自觉养成良好的投资理财习惯，树立正确的投资理念，增强风险自担意识，提高风险识别能力，避免落入非法代客理财的陷阱。</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4、案例四：远离非法“白银现货”</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2013年11月至2014年8月，某电子商务公司通过QQ等方式在网上招揽客户，利用该公司设立的网上集中交易平台，诱骗投资者参与所谓的白银现货交易。投资者上当后，该公司再谎称能提供专业指导，骗取投资者账号密码，擅自操作投资者账户，通过不断刷单赚取投资者高额</w:t>
      </w:r>
      <w:r w:rsidRPr="00FE6DFD">
        <w:rPr>
          <w:rFonts w:asciiTheme="minorEastAsia" w:hAnsiTheme="minorEastAsia" w:cs="宋体" w:hint="eastAsia"/>
          <w:color w:val="333333"/>
          <w:kern w:val="0"/>
          <w:szCs w:val="21"/>
        </w:rPr>
        <w:t>交易手续费、仓席费等费用；同时，该公司操控集中交易平台，与客户对赌，侵占客户资产，给投资者造成巨大损失。</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333333"/>
          <w:kern w:val="0"/>
          <w:szCs w:val="21"/>
        </w:rPr>
        <w:lastRenderedPageBreak/>
        <w:t>2014年7月，受害人向公安机关报案。日前</w:t>
      </w:r>
      <w:r w:rsidRPr="00FE6DFD">
        <w:rPr>
          <w:rFonts w:asciiTheme="minorEastAsia" w:hAnsiTheme="minorEastAsia" w:cs="宋体" w:hint="eastAsia"/>
          <w:color w:val="191919"/>
          <w:kern w:val="0"/>
          <w:szCs w:val="21"/>
        </w:rPr>
        <w:t>，检察机关对该公司相关人员以涉嫌诈骗罪向人民法院提起公诉。</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不法分子往往以高收益为诱饵，说白银交易“投资小、收益大”，只要跟着“老师”做，就可“收益翻番”，诱导投资者参与白银交易，诈骗投资者钱财。根据国家有关规定，除国务院金融监管部门批准的交易所之外，其他任何交易场所均不得采取集中竞价、电子撮合、连续交易等交易方式从事商品或权益交易，也不得采用集中方式进行标准化合约交易。投资者应当高度警惕以“白银”等贵金属为名义，采取集中竞价、连续交易等违法交易方式的交易活动，谨防上当受骗。如发现有人通过劝诱投资者参与白银交易骗取钱财的，可向当地公安机关报案，以免造成损失。</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5、案例五：非法基金疯狂敛财</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胡某某、张某夫妻二人，顶着“2008和谐中国十大年度人物”、“2008中华十大财智人物”和“上海市企业联合会常务理事会执行委员”等光环，打着香港某某国际控股有限公司旗号，以“全球投资、复利增长”等噱头，通过理财博览会、许以高额回报等手段在全国30多个省市大肆招募投资者，销售所谓的“复利产品”——XX环球基金，先后与844位客户签订合同，将所收客户资金用于大陆、香港等地的证券、期货投资，涉及金额1.27亿元，造成大部分本金亏损。当地证监局在查清上述违法事实后，将案件移送公安机关。</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一个没有相关资质的所谓香港公司，虚构新型复利产品，编制诸多美丽光环，骗取全国近千名投资者的信任，获取令人咋舌的非法所得。犯罪分子最终受到法律的制裁，投资者应以该案为警钟，自觉抵制高额回报、快速致富的诱惑，正确识别非法证券活动，努力提高风险防范意识。</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6、案例六：“海外上市”骗局</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2006年2月，某证券公司营业部“客户服务中心”正式对外营业，在这里的人自称某大型投资公司的经纪人团队。</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一天，“客户服务中心”业务员告诉该营业部股民苏某，“‘四川某</w:t>
      </w:r>
      <w:r w:rsidRPr="00FE6DFD">
        <w:rPr>
          <w:rFonts w:asciiTheme="minorEastAsia" w:hAnsiTheme="minorEastAsia" w:cs="宋体" w:hint="eastAsia"/>
          <w:color w:val="333333"/>
          <w:kern w:val="0"/>
          <w:szCs w:val="21"/>
        </w:rPr>
        <w:t>公司’即将在美国上市，现有部分原始股正在转让，届时将有10倍收益！”，投资者购买后，公司还会给投</w:t>
      </w:r>
      <w:r w:rsidRPr="00FE6DFD">
        <w:rPr>
          <w:rFonts w:asciiTheme="minorEastAsia" w:hAnsiTheme="minorEastAsia" w:cs="宋体" w:hint="eastAsia"/>
          <w:color w:val="333333"/>
          <w:kern w:val="0"/>
          <w:szCs w:val="21"/>
        </w:rPr>
        <w:lastRenderedPageBreak/>
        <w:t>资者出具股票托管卡，保证风险无虞。在几位业务员的极力鼓动下，舒某把自己多年的积蓄统统拿了出来交给这几位经纪人，并现场签订了股份转让协议、办理了过户手续。</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几天后，舒某前去询问公司海外上市事宜时，这个“客户服务中心”已经人去楼空了，而证券营业部的工作人员却称该服务中心与其无任何关系。舒某这才发现自己上当受骗了。</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从这一案例来看，不法分子利用投资者相关法制知识欠缺的弱点，通过虚假宣传、虚构材料，向社会公众销售未上市公司所谓原始股。根据法律规定，未经中国证监会核准，未上市公司原始股在我国境内不得面向社会公众公开销售或者致使股东累计超过200人；凡在我国境内从事代理销售股票等证券经营活动都需经中国证监会核准，未经核准的均属非法证券经营行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所以投资者在买入股票之前，可登录中国证监会网站或致电当地证券监管部门，查询相关公司是否具有公开发行股票的资格，以防上当受骗。</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7、案例七：网络新型案件</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公安机关侦查发现，有不法分子以购买A公司原始股为名实施集资诈骗、传销等非法活动。该公司网站自称，A公司附属于北欧投资联盟集团的环球服务平台。声称购买A公司的原始股票，股东将获得几十倍、上百倍的利润。该公司还鼓励参与者通过网络发展下线，推荐他人参与。据了解，北京、辽宁、湖南、内蒙古、浙江等地均有群众参与，并且多为退休老年人，涉案金额少则几万元，多则几十万元，一旦不法分子关闭网站、携款潜逃，将会给投资者造成巨额经济损失。</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此类网络投资诈骗一般具有以下两个方面的特点：</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一是投资的诱惑性。从事此类网络集资、传销的公司，往往声称自己为国际知名跨国公司或其分支机构，同时，宣称其经营项目为能源开发、黄金期货、外汇交易等高收益高风险项目，且公司拥有专业投资团队可有效降低风险，并声称年回报率高，周期短，按天返利的机制，编造十分美好的诱人“钱景”，引诱投资者上当受骗。</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二是网络的虚拟性。不法分子在境内外利用网络设局进行行骗活动的经营过程中，其公司就是一个网站，而且服务器一般设在境外；公司的广告宣传完全在互联网上进行，资金往来依靠电子转账和网上支付。整个操作流程实现了全网络化。网络化特别容易使一些既缺乏金融知识又缺乏科技知识的老龄人群上当受骗。</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lastRenderedPageBreak/>
        <w:t>不法分子借用从事境外证券交易活动的方式，认为可以不受中国法律的约束和管制，掩盖从事不法行为的真实目的，并以此来迷惑和欺骗群众，逃避打击。实际上，根据法律属地管辖的原则，凡在我国境内从事任何活动的一切国内外机构或个人，都要受到我国法律的约束，即使号称从事境外证券业务，未经依法批准，其违法行为同样会受到我国法律的制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8、案例八：借用境外上市公司编造谎言</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A投资公司通过电话、网络等通讯方式与投资者取得联系，声称该公司掌握在香港联合交易所上市的B公司将开展定向增发的内部消息，届时B公司股价将比现在上涨数倍，A公司可以通过其合作券商免费向投资者提供开立港股（H股）证券账户的代办服务，投资者只需通过开立后的账户按照A公司提供的时点和价位交易不低于10000股的B公司股票，即可享受巨额收益，但要获知交易时点和价位则需要向A公司支付一定“劳务费”，诱使投资者上当受骗。</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上述案例是社会上最近出现的新类型欺诈手段，其主要特点有二：</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一是利用投资者对境外资本市场及上市公司的不熟悉来强化其宣传活动的神秘性，掩盖虚假事实和违法性；</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二是利用可以为投资者开立境外证券账户来增强其骗术的迷惑性，使投资者认为该公司为正规公司，从而放松了警惕。以开立H股证券账户为例，内地居民只能通过香港证监会批准的持有证券交易牌照的合格券商在内地开立的分公司或办事处开户办理，其他公司或个人没有资格开展代办业务。</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另外，不法分子所谓的知道上市公司在未来将要开展重组的宣传伎俩还有避免谎言过早被投资者识破的目的，利用重组还在酝酿来给他们行骗争取尽可能长的时间。</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9、案例九：“神奇”软件藏陷阱</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软件是我们公司汇集国内金融、科技精英，投入巨资开发的高科技产品，可以第一时间实时跟踪国内全部股票走势，并自动发出买卖点信号，操作简单，选股精准。不但如此，用户还可以享受资深投资顾问一对一的服务，很多客户都已获利不菲。”</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2008年上半年，投资者朱某在浏览网站时，发现了成都某网络科技公司上述关于“某股票资讯终端”的产品宣传。通过进一步接触，朱某了解到，公司软件按股票走势准确度和售后一对一咨询服务内容不同划分为若干等级，其中“绝密计划”等级收费逾十万，由公司</w:t>
      </w:r>
      <w:r w:rsidRPr="00FE6DFD">
        <w:rPr>
          <w:rFonts w:asciiTheme="minorEastAsia" w:hAnsiTheme="minorEastAsia" w:cs="宋体" w:hint="eastAsia"/>
          <w:color w:val="191919"/>
          <w:kern w:val="0"/>
          <w:szCs w:val="21"/>
        </w:rPr>
        <w:lastRenderedPageBreak/>
        <w:t>“王牌投资总监”亲自指导操作。在“神奇”的“高科技软件”光环下，在公司“轰炸式”营销攻势下，在公司“贴心”服务的承诺下，朱某动摇了，交费11万余元，成为了该公司的软件用户。</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此后，朱某拿到的软件却没有带来预期的收益，账户经所谓的“王牌投资总监”实盘指导后甚至出现了严重亏损。公司当初信誓旦旦的收益承诺，事后看来只不过是打着神奇高科技软件旗号的又一起非法证券活动。</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经查实，该公司的炒股软件，不过是在现有行情软件基础上简单改动的粗制滥造品。公司明里以销售软件为名，实质却是未经证监会许可，非法从事证券投资咨询活动。最终公司的非法行为被依法取缔，并由证券监管部门移送公安机关处理。</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10、案例十：层层设套，摆下连环计</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在营销人员的不断鼓吹下，于某缴纳5000元成为了一家投资咨询公司的会员。但是在接下来三个月中，“高老师”推荐的股票均处于亏损被套的状态，让于先生非常气愤。因此于某将股票亏损情况进行了投诉，对方称所推荐的股票都是涨停股票，对亏损的情况一定会彻查清楚。</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两天后，于某接到自称为“白总监”的电话，称为了弥补于某的损失,公司现推出一项“秘密”行动，准备联合几家机构拉升几只股票，参与其中的投资者可以获取巨大利益。鉴于前期余某的损失，公司以优惠的价格将于某升级为高级会员，只要再缴纳18000元就能享受到38868元高级会员的待遇,由其亲自指导炒股，保证能获取50%以上的收益，并要求余某保密，“白总监”信誓旦旦，再次骗取了于某的信任。在于某又给该公司汇去了18000元后，“白总监”也人间蒸发，杳无音信了。于某这才明白过来,原来自己被一骗再骗，中了非法投资咨询机构的设计的连环计。</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在这个案例中不法分子推荐股票造成投资者亏损后，利用投资者已处于亏损的尴尬局面，采取各种“话术”蛊惑投资者参加更高级别的会员组，缴纳更多的“会员费”，造成投资者亏损越来越大。</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11、案例十一：“私募基金”的大忽悠</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lastRenderedPageBreak/>
        <w:t>投资者张某在家接到电话,对方称自己是国内知名私募基金公司，拥有大量的内幕信息,具有超强的资金实力，能为其提供证券投资咨询服务。张某经介绍上网浏览了该公司网站,看见网站上公布了大量股票研究报告和行情分析,觉得该公司非常专业,便同意接受该公司的咨询服务并缴纳了8000元服务费。事实上该公司只是个皮包公司,并不具有投资咨询资质,张某缴纳的服务费也打了水漂。</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经过调查，许多所谓的专业机构无外乎就是租用一个几十平米的办公场所,并雇用一些对证券市场一无所知的业务人员通过事先准备好的“话术”对投资者进行欺诈的“皮包”公司。假借“私募基金”名义就是最典型的一种形式。</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投资者在参与证券投资咨询服务活动中,一定要提高警惕,不要盲目轻信所谓的“专业机构”和“内幕消息”。接受投资咨询服务时一定要核实对方的资格,明确对方身份,选择合法机构和有执业资格的专业人员。</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12、案例十二：“山寨”合法机构网站</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案情摘要</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张某在某财经网站发现一栏消息,标题是“揭幕明日即将拉升的股票”,点击一看,是国内非常著名的一家证券公司的网站,网站顶部写着“公司经过中国证监会批准”,并有电子版的批准证书。网站内容主要有“强力个股推荐”、“精确市场预测”、“实战业绩”、“涨停板股票服务”。张某拨打了网站底部显示的手机号码,业务员陈某说公司实力很强,有专人研究分析股票,近期几只大牛股都抓住了。于是张某心动不已,按要求向一个户名为“陈某”个人账户缴纳了一个季度的服务费4380元,对方也传真了一份已盖章的服务合同,并口头保证15个交易日获利120%,总获利不低于360%。但此后,按公司推荐的股票操作,却只跌不涨,一周以后张某后悔,想讨回服务费,但发现再也无法联系到陈某,公司的电话也无人接听。</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b/>
          <w:bCs/>
          <w:color w:val="191919"/>
          <w:kern w:val="0"/>
          <w:szCs w:val="21"/>
        </w:rPr>
        <w:t>风险提示</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不法分子常常利用网络平台假冒合法证券公司设立山寨网站和冒牌机构,企图鱼目混珠,混淆视听。为诱骗投资者上当,不法分子还声称公司经过证券监督管理部门的批准,有的甚至刊登虚假的资质证书。在收取投资者服务费时,往往要求投资者将款项汇到个人银行账户中。</w:t>
      </w:r>
    </w:p>
    <w:p w:rsidR="00D0743C" w:rsidRPr="00FE6DFD" w:rsidRDefault="00D0743C" w:rsidP="00FE6DFD">
      <w:pPr>
        <w:widowControl/>
        <w:shd w:val="clear" w:color="auto" w:fill="FFFFFF"/>
        <w:spacing w:line="360" w:lineRule="auto"/>
        <w:ind w:firstLine="600"/>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t>合法证券投资咨询机构提供咨询服务一般要与客户签订书面服务合同,对于那些不能提供书面服务合同或合同要件不齐备的证券投资咨询服务,投资者务必高度警惕。同时,合法证券投资咨询机构一般通过公司专用收款账户收取咨询服务费,对于那些要求将钱打入个人银行账户的证券咨询活动,投资者更要格外小心。</w:t>
      </w:r>
    </w:p>
    <w:p w:rsidR="00D0743C" w:rsidRPr="00FE6DFD" w:rsidRDefault="00D0743C" w:rsidP="00FE6DFD">
      <w:pPr>
        <w:widowControl/>
        <w:shd w:val="clear" w:color="auto" w:fill="FFFFFF"/>
        <w:spacing w:line="360" w:lineRule="auto"/>
        <w:jc w:val="left"/>
        <w:rPr>
          <w:rFonts w:asciiTheme="minorEastAsia" w:hAnsiTheme="minorEastAsia" w:cs="宋体"/>
          <w:color w:val="333333"/>
          <w:kern w:val="0"/>
          <w:szCs w:val="21"/>
        </w:rPr>
      </w:pPr>
      <w:r w:rsidRPr="00FE6DFD">
        <w:rPr>
          <w:rFonts w:asciiTheme="minorEastAsia" w:hAnsiTheme="minorEastAsia" w:cs="宋体" w:hint="eastAsia"/>
          <w:color w:val="191919"/>
          <w:kern w:val="0"/>
          <w:szCs w:val="21"/>
        </w:rPr>
        <w:lastRenderedPageBreak/>
        <w:t>此外，实践中还有不法分子假冒证监会、证券交易所名义,以弥补投资者亏损为名进行诈骗，大家一定要加强防范。</w:t>
      </w:r>
    </w:p>
    <w:p w:rsidR="00176168" w:rsidRPr="00FE6DFD" w:rsidRDefault="00176168" w:rsidP="00FE6DFD">
      <w:pPr>
        <w:pStyle w:val="a3"/>
        <w:spacing w:line="360" w:lineRule="auto"/>
        <w:rPr>
          <w:rFonts w:asciiTheme="minorEastAsia" w:eastAsiaTheme="minorEastAsia" w:hAnsiTheme="minorEastAsia" w:cs="宋体"/>
        </w:rPr>
      </w:pPr>
    </w:p>
    <w:sectPr w:rsidR="00176168" w:rsidRPr="00FE6DFD" w:rsidSect="001F6987">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CA" w:rsidRDefault="001F3FCA" w:rsidP="00D0743C">
      <w:r>
        <w:separator/>
      </w:r>
    </w:p>
  </w:endnote>
  <w:endnote w:type="continuationSeparator" w:id="1">
    <w:p w:rsidR="001F3FCA" w:rsidRDefault="001F3FCA" w:rsidP="00D074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CA" w:rsidRDefault="001F3FCA" w:rsidP="00D0743C">
      <w:r>
        <w:separator/>
      </w:r>
    </w:p>
  </w:footnote>
  <w:footnote w:type="continuationSeparator" w:id="1">
    <w:p w:rsidR="001F3FCA" w:rsidRDefault="001F3FCA" w:rsidP="00D074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415E0"/>
    <w:rsid w:val="001444D8"/>
    <w:rsid w:val="001509BD"/>
    <w:rsid w:val="00156329"/>
    <w:rsid w:val="00156772"/>
    <w:rsid w:val="00161812"/>
    <w:rsid w:val="00163922"/>
    <w:rsid w:val="001709C2"/>
    <w:rsid w:val="00171661"/>
    <w:rsid w:val="001727DE"/>
    <w:rsid w:val="00176168"/>
    <w:rsid w:val="001765FF"/>
    <w:rsid w:val="0017670C"/>
    <w:rsid w:val="0018046B"/>
    <w:rsid w:val="0018338C"/>
    <w:rsid w:val="00185209"/>
    <w:rsid w:val="00187665"/>
    <w:rsid w:val="00190B6B"/>
    <w:rsid w:val="00194711"/>
    <w:rsid w:val="001A45E2"/>
    <w:rsid w:val="001A4EC7"/>
    <w:rsid w:val="001B2DDC"/>
    <w:rsid w:val="001C467E"/>
    <w:rsid w:val="001C63E6"/>
    <w:rsid w:val="001C7AAA"/>
    <w:rsid w:val="001E4E0C"/>
    <w:rsid w:val="001F099F"/>
    <w:rsid w:val="001F1E35"/>
    <w:rsid w:val="001F3FCA"/>
    <w:rsid w:val="001F4D28"/>
    <w:rsid w:val="001F4EEB"/>
    <w:rsid w:val="001F6987"/>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5D63"/>
    <w:rsid w:val="006062E5"/>
    <w:rsid w:val="00614C10"/>
    <w:rsid w:val="00616E7D"/>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2154"/>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799A"/>
    <w:rsid w:val="00BE2C0E"/>
    <w:rsid w:val="00C0262B"/>
    <w:rsid w:val="00C05246"/>
    <w:rsid w:val="00C05AA9"/>
    <w:rsid w:val="00C11E07"/>
    <w:rsid w:val="00C12DF6"/>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43C"/>
    <w:rsid w:val="00D07D38"/>
    <w:rsid w:val="00D10258"/>
    <w:rsid w:val="00D209E0"/>
    <w:rsid w:val="00D21CCC"/>
    <w:rsid w:val="00D246C0"/>
    <w:rsid w:val="00D25EBE"/>
    <w:rsid w:val="00D3487E"/>
    <w:rsid w:val="00D3652A"/>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E6DFD"/>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F6987"/>
    <w:rPr>
      <w:rFonts w:ascii="宋体" w:eastAsia="宋体" w:hAnsi="Courier New" w:cs="Courier New"/>
      <w:szCs w:val="21"/>
    </w:rPr>
  </w:style>
  <w:style w:type="character" w:customStyle="1" w:styleId="Char">
    <w:name w:val="纯文本 Char"/>
    <w:basedOn w:val="a0"/>
    <w:link w:val="a3"/>
    <w:uiPriority w:val="99"/>
    <w:rsid w:val="001F6987"/>
    <w:rPr>
      <w:rFonts w:ascii="宋体" w:eastAsia="宋体" w:hAnsi="Courier New" w:cs="Courier New"/>
      <w:szCs w:val="21"/>
    </w:rPr>
  </w:style>
  <w:style w:type="paragraph" w:styleId="a4">
    <w:name w:val="header"/>
    <w:basedOn w:val="a"/>
    <w:link w:val="Char0"/>
    <w:uiPriority w:val="99"/>
    <w:semiHidden/>
    <w:unhideWhenUsed/>
    <w:rsid w:val="00D074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0743C"/>
    <w:rPr>
      <w:sz w:val="18"/>
      <w:szCs w:val="18"/>
    </w:rPr>
  </w:style>
  <w:style w:type="paragraph" w:styleId="a5">
    <w:name w:val="footer"/>
    <w:basedOn w:val="a"/>
    <w:link w:val="Char1"/>
    <w:uiPriority w:val="99"/>
    <w:semiHidden/>
    <w:unhideWhenUsed/>
    <w:rsid w:val="00D0743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0743C"/>
    <w:rPr>
      <w:sz w:val="18"/>
      <w:szCs w:val="18"/>
    </w:rPr>
  </w:style>
  <w:style w:type="paragraph" w:customStyle="1" w:styleId="p16">
    <w:name w:val="p16"/>
    <w:basedOn w:val="a"/>
    <w:rsid w:val="00D0743C"/>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D0743C"/>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0743C"/>
  </w:style>
  <w:style w:type="paragraph" w:styleId="a6">
    <w:name w:val="Balloon Text"/>
    <w:basedOn w:val="a"/>
    <w:link w:val="Char2"/>
    <w:uiPriority w:val="99"/>
    <w:semiHidden/>
    <w:unhideWhenUsed/>
    <w:rsid w:val="00D0743C"/>
    <w:rPr>
      <w:sz w:val="18"/>
      <w:szCs w:val="18"/>
    </w:rPr>
  </w:style>
  <w:style w:type="character" w:customStyle="1" w:styleId="Char2">
    <w:name w:val="批注框文本 Char"/>
    <w:basedOn w:val="a0"/>
    <w:link w:val="a6"/>
    <w:uiPriority w:val="99"/>
    <w:semiHidden/>
    <w:rsid w:val="00D0743C"/>
    <w:rPr>
      <w:sz w:val="18"/>
      <w:szCs w:val="18"/>
    </w:rPr>
  </w:style>
</w:styles>
</file>

<file path=word/webSettings.xml><?xml version="1.0" encoding="utf-8"?>
<w:webSettings xmlns:r="http://schemas.openxmlformats.org/officeDocument/2006/relationships" xmlns:w="http://schemas.openxmlformats.org/wordprocessingml/2006/main">
  <w:divs>
    <w:div w:id="569268910">
      <w:bodyDiv w:val="1"/>
      <w:marLeft w:val="0"/>
      <w:marRight w:val="0"/>
      <w:marTop w:val="0"/>
      <w:marBottom w:val="0"/>
      <w:divBdr>
        <w:top w:val="none" w:sz="0" w:space="0" w:color="auto"/>
        <w:left w:val="none" w:sz="0" w:space="0" w:color="auto"/>
        <w:bottom w:val="none" w:sz="0" w:space="0" w:color="auto"/>
        <w:right w:val="none" w:sz="0" w:space="0" w:color="auto"/>
      </w:divBdr>
      <w:divsChild>
        <w:div w:id="19595780">
          <w:marLeft w:val="0"/>
          <w:marRight w:val="0"/>
          <w:marTop w:val="0"/>
          <w:marBottom w:val="0"/>
          <w:divBdr>
            <w:top w:val="none" w:sz="0" w:space="15" w:color="auto"/>
            <w:left w:val="none" w:sz="0" w:space="31" w:color="auto"/>
            <w:bottom w:val="single" w:sz="8" w:space="8" w:color="CCCCCC"/>
            <w:right w:val="none" w:sz="0" w:space="31" w:color="auto"/>
          </w:divBdr>
        </w:div>
        <w:div w:id="147298861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3</cp:revision>
  <dcterms:created xsi:type="dcterms:W3CDTF">2020-06-03T09:39:00Z</dcterms:created>
  <dcterms:modified xsi:type="dcterms:W3CDTF">2020-06-03T12:27:00Z</dcterms:modified>
</cp:coreProperties>
</file>